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53771A" w:rsidRDefault="00F6784C" w:rsidP="006622ED">
      <w:pPr>
        <w:spacing w:line="276" w:lineRule="auto"/>
        <w:ind w:left="6372" w:firstLine="708"/>
        <w:jc w:val="right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Załącznik nr 2</w:t>
      </w:r>
    </w:p>
    <w:p w:rsidR="00F6784C" w:rsidRPr="0053771A" w:rsidRDefault="001D2B4B" w:rsidP="006622ED">
      <w:pPr>
        <w:spacing w:line="276" w:lineRule="auto"/>
        <w:ind w:left="6372"/>
        <w:jc w:val="righ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do zapytania ofertowego 39</w:t>
      </w:r>
      <w:r w:rsidR="00F6784C" w:rsidRPr="0053771A">
        <w:rPr>
          <w:rFonts w:ascii="Candara" w:hAnsi="Candara" w:cs="Arial"/>
          <w:sz w:val="22"/>
          <w:szCs w:val="22"/>
        </w:rPr>
        <w:t>/2018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Umowa 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na wykonanie usług poligraficznych</w:t>
      </w:r>
      <w:r w:rsidR="0053771A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53771A" w:rsidRPr="000F6E67">
        <w:rPr>
          <w:rFonts w:ascii="Candara" w:hAnsi="Candara" w:cs="Arial"/>
          <w:b/>
          <w:bCs/>
          <w:color w:val="000000"/>
        </w:rPr>
        <w:t>(materiały promocyjne)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dla Muzeum Okręgowego w Tarnowie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zawarta w dniu </w:t>
      </w:r>
      <w:r w:rsidR="0053771A">
        <w:rPr>
          <w:rFonts w:ascii="Candara" w:hAnsi="Candara" w:cs="Arial"/>
          <w:b/>
          <w:bCs/>
          <w:sz w:val="22"/>
          <w:szCs w:val="22"/>
        </w:rPr>
        <w:t>…</w:t>
      </w:r>
      <w:r w:rsidR="00626FEC" w:rsidRPr="0053771A">
        <w:rPr>
          <w:rFonts w:ascii="Candara" w:hAnsi="Candara" w:cs="Arial"/>
          <w:b/>
          <w:bCs/>
          <w:sz w:val="22"/>
          <w:szCs w:val="22"/>
        </w:rPr>
        <w:t xml:space="preserve"> 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pomiędzy: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 Andrzeja </w:t>
      </w:r>
      <w:proofErr w:type="spellStart"/>
      <w:r w:rsidRPr="0053771A">
        <w:rPr>
          <w:rFonts w:ascii="Candara" w:hAnsi="Candara" w:cs="Arial"/>
          <w:sz w:val="22"/>
          <w:szCs w:val="22"/>
        </w:rPr>
        <w:t>Szpunara</w:t>
      </w:r>
      <w:proofErr w:type="spellEnd"/>
      <w:r w:rsidRPr="0053771A">
        <w:rPr>
          <w:rFonts w:ascii="Candara" w:hAnsi="Candara" w:cs="Arial"/>
          <w:sz w:val="22"/>
          <w:szCs w:val="22"/>
        </w:rPr>
        <w:t xml:space="preserve"> - dyrektora,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Zamawiającym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a </w:t>
      </w:r>
    </w:p>
    <w:p w:rsidR="00626FEC" w:rsidRPr="0053771A" w:rsidRDefault="0053771A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Wykonawcą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i/>
          <w:iCs/>
          <w:sz w:val="22"/>
          <w:szCs w:val="22"/>
        </w:rPr>
      </w:pPr>
      <w:r w:rsidRPr="0053771A">
        <w:rPr>
          <w:rFonts w:ascii="Candara" w:hAnsi="Candara" w:cs="Arial"/>
          <w:i/>
          <w:iCs/>
          <w:sz w:val="22"/>
          <w:szCs w:val="22"/>
        </w:rPr>
        <w:t xml:space="preserve">Do realizacji umowy zastosowano art. 4 pkt. 8 ustawy z dnia 29 stycznia 2004 r. Prawo zamówień publicznych (tekst jednolity Dz. U. z 2017 r. poz. 1579 ze zm.).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1.</w:t>
      </w:r>
    </w:p>
    <w:p w:rsidR="004501B0" w:rsidRPr="0053771A" w:rsidRDefault="004501B0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Przedmiotem umowy jest wykonanie i dostawa </w:t>
      </w:r>
      <w:r w:rsidR="0053771A">
        <w:rPr>
          <w:rFonts w:ascii="Candara" w:hAnsi="Candara" w:cs="Arial"/>
          <w:sz w:val="22"/>
          <w:szCs w:val="22"/>
        </w:rPr>
        <w:t>materiałów promocyjnych</w:t>
      </w:r>
      <w:r w:rsidRPr="0053771A">
        <w:rPr>
          <w:rFonts w:ascii="Candara" w:hAnsi="Candara" w:cs="Arial"/>
          <w:sz w:val="22"/>
          <w:szCs w:val="22"/>
        </w:rPr>
        <w:t xml:space="preserve"> zgodnie z poniższa specyfikacją:</w:t>
      </w:r>
    </w:p>
    <w:p w:rsidR="001D2B4B" w:rsidRPr="00574AD8" w:rsidRDefault="001D2B4B" w:rsidP="001D2B4B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="Arial"/>
          <w:b/>
          <w:u w:val="single"/>
        </w:rPr>
      </w:pPr>
      <w:proofErr w:type="spellStart"/>
      <w:r>
        <w:rPr>
          <w:rFonts w:ascii="Candara" w:hAnsi="Candara" w:cs="Arial"/>
          <w:b/>
          <w:u w:val="single"/>
        </w:rPr>
        <w:t>rollup</w:t>
      </w:r>
      <w:proofErr w:type="spellEnd"/>
      <w:r>
        <w:rPr>
          <w:rFonts w:ascii="Candara" w:hAnsi="Candara" w:cs="Arial"/>
          <w:b/>
          <w:u w:val="single"/>
        </w:rPr>
        <w:t xml:space="preserve"> 200x200 cm</w:t>
      </w:r>
      <w:r w:rsidRPr="00574AD8">
        <w:rPr>
          <w:rFonts w:ascii="Candara" w:hAnsi="Candara" w:cs="Arial"/>
          <w:b/>
        </w:rPr>
        <w:t xml:space="preserve"> (1 szt.)</w:t>
      </w:r>
    </w:p>
    <w:p w:rsidR="001D2B4B" w:rsidRPr="008906CF" w:rsidRDefault="001D2B4B" w:rsidP="001D2B4B">
      <w:pPr>
        <w:pStyle w:val="Akapitzlist"/>
        <w:numPr>
          <w:ilvl w:val="0"/>
          <w:numId w:val="17"/>
        </w:numPr>
        <w:jc w:val="both"/>
        <w:rPr>
          <w:rFonts w:ascii="Candara" w:hAnsi="Candara" w:cs="Arial"/>
        </w:rPr>
      </w:pPr>
      <w:r w:rsidRPr="008906CF">
        <w:rPr>
          <w:rFonts w:ascii="Candara" w:hAnsi="Candara" w:cs="Arial"/>
        </w:rPr>
        <w:t>materiały i technika: wydruk</w:t>
      </w:r>
      <w:r>
        <w:rPr>
          <w:rFonts w:ascii="Candara" w:hAnsi="Candara" w:cs="Arial"/>
        </w:rPr>
        <w:t xml:space="preserve"> </w:t>
      </w:r>
      <w:proofErr w:type="spellStart"/>
      <w:r w:rsidRPr="008906CF">
        <w:rPr>
          <w:rFonts w:ascii="Candara" w:hAnsi="Candara" w:cs="Arial"/>
        </w:rPr>
        <w:t>blockout</w:t>
      </w:r>
      <w:proofErr w:type="spellEnd"/>
      <w:r>
        <w:rPr>
          <w:rFonts w:ascii="Candara" w:hAnsi="Candara" w:cs="Arial"/>
        </w:rPr>
        <w:t xml:space="preserve"> </w:t>
      </w:r>
      <w:proofErr w:type="spellStart"/>
      <w:r>
        <w:rPr>
          <w:rFonts w:ascii="Candara" w:hAnsi="Candara" w:cs="Arial"/>
        </w:rPr>
        <w:t>full</w:t>
      </w:r>
      <w:proofErr w:type="spellEnd"/>
      <w:r>
        <w:rPr>
          <w:rFonts w:ascii="Candara" w:hAnsi="Candara" w:cs="Arial"/>
        </w:rPr>
        <w:t xml:space="preserve"> </w:t>
      </w:r>
      <w:proofErr w:type="spellStart"/>
      <w:r>
        <w:rPr>
          <w:rFonts w:ascii="Candara" w:hAnsi="Candara" w:cs="Arial"/>
        </w:rPr>
        <w:t>color</w:t>
      </w:r>
      <w:proofErr w:type="spellEnd"/>
      <w:r w:rsidRPr="008906CF">
        <w:rPr>
          <w:rFonts w:ascii="Candara" w:hAnsi="Candara" w:cs="Arial"/>
        </w:rPr>
        <w:t xml:space="preserve"> + system + torba transportowa</w:t>
      </w:r>
    </w:p>
    <w:p w:rsidR="001D2B4B" w:rsidRPr="006B3DF6" w:rsidRDefault="001D2B4B" w:rsidP="001D2B4B">
      <w:pPr>
        <w:pStyle w:val="Akapitzlist"/>
        <w:numPr>
          <w:ilvl w:val="0"/>
          <w:numId w:val="17"/>
        </w:numPr>
        <w:jc w:val="both"/>
        <w:rPr>
          <w:rFonts w:ascii="Candara" w:hAnsi="Candara"/>
        </w:rPr>
      </w:pPr>
      <w:r>
        <w:rPr>
          <w:rFonts w:ascii="Candara" w:hAnsi="Candara"/>
        </w:rPr>
        <w:t>wymiar wydruku: 200x200 cm</w:t>
      </w:r>
    </w:p>
    <w:p w:rsidR="001D2B4B" w:rsidRPr="008906CF" w:rsidRDefault="001D2B4B" w:rsidP="001D2B4B">
      <w:pPr>
        <w:pStyle w:val="Akapitzlist"/>
        <w:numPr>
          <w:ilvl w:val="0"/>
          <w:numId w:val="17"/>
        </w:numPr>
        <w:jc w:val="both"/>
        <w:rPr>
          <w:rFonts w:ascii="Candara" w:hAnsi="Candara"/>
          <w:b/>
          <w:u w:val="single"/>
        </w:rPr>
      </w:pPr>
      <w:r w:rsidRPr="008906CF">
        <w:rPr>
          <w:rFonts w:ascii="Candara" w:hAnsi="Candara"/>
        </w:rPr>
        <w:t xml:space="preserve">projekt graficzny – we własnym zakresie Zamawiającego, zostanie </w:t>
      </w:r>
      <w:r>
        <w:rPr>
          <w:rFonts w:ascii="Candara" w:hAnsi="Candara"/>
        </w:rPr>
        <w:t>dostosowany do wymagań drukarni</w:t>
      </w:r>
    </w:p>
    <w:p w:rsidR="001D2B4B" w:rsidRPr="006B3DF6" w:rsidRDefault="001D2B4B" w:rsidP="001D2B4B">
      <w:pPr>
        <w:pStyle w:val="Akapitzlist"/>
        <w:numPr>
          <w:ilvl w:val="0"/>
          <w:numId w:val="11"/>
        </w:numPr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wydruk </w:t>
      </w:r>
      <w:proofErr w:type="spellStart"/>
      <w:r>
        <w:rPr>
          <w:rFonts w:ascii="Candara" w:hAnsi="Candara"/>
          <w:b/>
          <w:u w:val="single"/>
        </w:rPr>
        <w:t>blockout</w:t>
      </w:r>
      <w:proofErr w:type="spellEnd"/>
      <w:r>
        <w:rPr>
          <w:rFonts w:ascii="Candara" w:hAnsi="Candara"/>
          <w:b/>
          <w:u w:val="single"/>
        </w:rPr>
        <w:t xml:space="preserve"> oprawiony w rurki PCV (góra i dół) z zawieszką</w:t>
      </w:r>
      <w:r w:rsidRPr="006B3DF6">
        <w:rPr>
          <w:rFonts w:ascii="Candara" w:hAnsi="Candara"/>
          <w:b/>
        </w:rPr>
        <w:t xml:space="preserve"> (</w:t>
      </w:r>
      <w:r>
        <w:rPr>
          <w:rFonts w:ascii="Candara" w:hAnsi="Candara"/>
          <w:b/>
        </w:rPr>
        <w:t>1</w:t>
      </w:r>
      <w:r w:rsidRPr="006B3DF6">
        <w:rPr>
          <w:rFonts w:ascii="Candara" w:hAnsi="Candara"/>
          <w:b/>
        </w:rPr>
        <w:t xml:space="preserve"> szt.)</w:t>
      </w:r>
    </w:p>
    <w:p w:rsidR="001D2B4B" w:rsidRPr="008906CF" w:rsidRDefault="001D2B4B" w:rsidP="001D2B4B">
      <w:pPr>
        <w:pStyle w:val="Akapitzlist"/>
        <w:numPr>
          <w:ilvl w:val="0"/>
          <w:numId w:val="18"/>
        </w:numPr>
        <w:jc w:val="both"/>
        <w:rPr>
          <w:rFonts w:ascii="Candara" w:hAnsi="Candara"/>
        </w:rPr>
      </w:pPr>
      <w:r w:rsidRPr="008906CF">
        <w:rPr>
          <w:rFonts w:ascii="Candara" w:hAnsi="Candara" w:cs="Arial"/>
        </w:rPr>
        <w:t>materiały i technika: wydruk</w:t>
      </w:r>
      <w:r>
        <w:rPr>
          <w:rFonts w:ascii="Candara" w:hAnsi="Candara" w:cs="Arial"/>
        </w:rPr>
        <w:t xml:space="preserve"> </w:t>
      </w:r>
      <w:proofErr w:type="spellStart"/>
      <w:r w:rsidRPr="008906CF">
        <w:rPr>
          <w:rFonts w:ascii="Candara" w:hAnsi="Candara" w:cs="Arial"/>
        </w:rPr>
        <w:t>blockout</w:t>
      </w:r>
      <w:proofErr w:type="spellEnd"/>
      <w:r>
        <w:rPr>
          <w:rFonts w:ascii="Candara" w:hAnsi="Candara" w:cs="Arial"/>
        </w:rPr>
        <w:t xml:space="preserve"> </w:t>
      </w:r>
      <w:proofErr w:type="spellStart"/>
      <w:r>
        <w:rPr>
          <w:rFonts w:ascii="Candara" w:hAnsi="Candara" w:cs="Arial"/>
        </w:rPr>
        <w:t>full</w:t>
      </w:r>
      <w:proofErr w:type="spellEnd"/>
      <w:r>
        <w:rPr>
          <w:rFonts w:ascii="Candara" w:hAnsi="Candara" w:cs="Arial"/>
        </w:rPr>
        <w:t xml:space="preserve"> </w:t>
      </w:r>
      <w:proofErr w:type="spellStart"/>
      <w:r>
        <w:rPr>
          <w:rFonts w:ascii="Candara" w:hAnsi="Candara" w:cs="Arial"/>
        </w:rPr>
        <w:t>color</w:t>
      </w:r>
      <w:proofErr w:type="spellEnd"/>
      <w:r w:rsidRPr="008906CF">
        <w:rPr>
          <w:rFonts w:ascii="Candara" w:hAnsi="Candara" w:cs="Arial"/>
        </w:rPr>
        <w:t xml:space="preserve"> </w:t>
      </w:r>
    </w:p>
    <w:p w:rsidR="001D2B4B" w:rsidRPr="006B3DF6" w:rsidRDefault="001D2B4B" w:rsidP="001D2B4B">
      <w:pPr>
        <w:pStyle w:val="Akapitzlist"/>
        <w:numPr>
          <w:ilvl w:val="0"/>
          <w:numId w:val="18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 xml:space="preserve">wymiary </w:t>
      </w:r>
      <w:r>
        <w:rPr>
          <w:rFonts w:ascii="Candara" w:hAnsi="Candara"/>
        </w:rPr>
        <w:t>wydruku: 225x160 cm</w:t>
      </w:r>
    </w:p>
    <w:p w:rsidR="001D2B4B" w:rsidRPr="008906CF" w:rsidRDefault="001D2B4B" w:rsidP="001D2B4B">
      <w:pPr>
        <w:pStyle w:val="Akapitzlist"/>
        <w:numPr>
          <w:ilvl w:val="0"/>
          <w:numId w:val="18"/>
        </w:numPr>
        <w:jc w:val="both"/>
        <w:rPr>
          <w:rFonts w:ascii="Candara" w:hAnsi="Candara"/>
          <w:b/>
          <w:u w:val="single"/>
        </w:rPr>
      </w:pPr>
      <w:r w:rsidRPr="008906CF">
        <w:rPr>
          <w:rFonts w:ascii="Candara" w:hAnsi="Candara"/>
        </w:rPr>
        <w:t xml:space="preserve">projekt graficzny – we własnym zakresie Zamawiającego, zostanie </w:t>
      </w:r>
      <w:r>
        <w:rPr>
          <w:rFonts w:ascii="Candara" w:hAnsi="Candara"/>
        </w:rPr>
        <w:t>dostosowany do wymagań drukarni</w:t>
      </w:r>
    </w:p>
    <w:p w:rsidR="001D2B4B" w:rsidRPr="001D2B4B" w:rsidRDefault="001D2B4B" w:rsidP="001D2B4B">
      <w:pPr>
        <w:pStyle w:val="Akapitzlist"/>
        <w:numPr>
          <w:ilvl w:val="0"/>
          <w:numId w:val="18"/>
        </w:numPr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</w:rPr>
        <w:t xml:space="preserve">zdjęcie </w:t>
      </w:r>
      <w:r>
        <w:rPr>
          <w:rFonts w:ascii="Candara" w:hAnsi="Candara"/>
        </w:rPr>
        <w:t>poglądowe – załącznik nr 1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Wykonanie przedmiotu umowy i jego dostawa, będą dokonane na podstawie zamówienia e-mailowego </w:t>
      </w:r>
      <w:r w:rsidRPr="0053771A">
        <w:rPr>
          <w:rFonts w:ascii="Candara" w:hAnsi="Candara" w:cs="Arial"/>
          <w:b/>
          <w:bCs/>
          <w:sz w:val="22"/>
          <w:szCs w:val="22"/>
        </w:rPr>
        <w:t>najpóźniej do</w:t>
      </w:r>
      <w:r w:rsidRPr="001D2B4B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1D2B4B" w:rsidRPr="001D2B4B">
        <w:rPr>
          <w:rFonts w:ascii="Candara" w:hAnsi="Candara" w:cs="Arial"/>
          <w:b/>
          <w:bCs/>
          <w:sz w:val="22"/>
          <w:szCs w:val="22"/>
          <w:highlight w:val="red"/>
        </w:rPr>
        <w:t>…</w:t>
      </w:r>
      <w:r w:rsidRPr="001D2B4B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53771A">
        <w:rPr>
          <w:rFonts w:ascii="Candara" w:hAnsi="Candara" w:cs="Arial"/>
          <w:b/>
          <w:bCs/>
          <w:sz w:val="22"/>
          <w:szCs w:val="22"/>
        </w:rPr>
        <w:t>dni roboczych</w:t>
      </w:r>
      <w:r w:rsidRPr="0053771A">
        <w:rPr>
          <w:rFonts w:ascii="Candara" w:hAnsi="Candara" w:cs="Arial"/>
          <w:sz w:val="22"/>
          <w:szCs w:val="22"/>
        </w:rPr>
        <w:t xml:space="preserve"> od dnia przyjęcia zamówienia od Zamawiającego.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Miejsce dostawy: Muzeum Okręgowe w Tarnowie, Rynek 3.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Wykonawca dostarczy przedmiot umowy na własny koszt, w</w:t>
      </w:r>
      <w:r w:rsidR="0015791C" w:rsidRPr="0053771A">
        <w:rPr>
          <w:rFonts w:ascii="Candara" w:hAnsi="Candara" w:cs="Arial"/>
          <w:sz w:val="22"/>
          <w:szCs w:val="22"/>
        </w:rPr>
        <w:t xml:space="preserve"> sposób zapewniający ich całość</w:t>
      </w:r>
      <w:r w:rsidR="0015791C" w:rsidRPr="0053771A">
        <w:rPr>
          <w:rFonts w:ascii="Candara" w:hAnsi="Candara" w:cs="Arial"/>
          <w:sz w:val="22"/>
          <w:szCs w:val="22"/>
        </w:rPr>
        <w:br/>
      </w:r>
      <w:r w:rsidRPr="0053771A">
        <w:rPr>
          <w:rFonts w:ascii="Candara" w:hAnsi="Candara" w:cs="Arial"/>
          <w:sz w:val="22"/>
          <w:szCs w:val="22"/>
        </w:rPr>
        <w:t xml:space="preserve">i nienaruszalność.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lastRenderedPageBreak/>
        <w:t xml:space="preserve">W przypadku stwierdzenia przy odbiorze przedmiotu umowy wad, braków ilościowych </w:t>
      </w:r>
      <w:r w:rsidRPr="0053771A">
        <w:rPr>
          <w:rFonts w:ascii="Candara" w:hAnsi="Candara" w:cs="Arial"/>
          <w:sz w:val="22"/>
          <w:szCs w:val="22"/>
        </w:rPr>
        <w:br/>
        <w:t>lub jakościowych, Zamawiający ma prawo odmowy odebrania dostarczonych materiałów. Nie wyklucza to późniejszego wniesienia reklamacji przez Zamawiającego. Zamawiający zwraca na koszt Wykonawcy egzemplarze materiałów będące przedmiotem zwrotu</w:t>
      </w:r>
      <w:r w:rsidRPr="0053771A">
        <w:rPr>
          <w:rFonts w:ascii="Candara" w:hAnsi="Candara" w:cs="Arial"/>
          <w:sz w:val="22"/>
          <w:szCs w:val="22"/>
        </w:rPr>
        <w:br/>
        <w:t xml:space="preserve">w celu wymiany na wolne od wad. Wykonawca zobowiązany jest dostarczyć na swój koszt materiały wolne od wad w terminie </w:t>
      </w:r>
      <w:r w:rsidR="001D2B4B" w:rsidRPr="001D2B4B">
        <w:rPr>
          <w:rFonts w:ascii="Candara" w:hAnsi="Candara" w:cs="Arial"/>
          <w:b/>
          <w:bCs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 dni roboczych </w:t>
      </w:r>
      <w:r w:rsidRPr="0053771A">
        <w:rPr>
          <w:rFonts w:ascii="Candara" w:hAnsi="Candara" w:cs="Arial"/>
          <w:sz w:val="22"/>
          <w:szCs w:val="22"/>
        </w:rPr>
        <w:t xml:space="preserve">od dnia przekazania Wykonawcy informacji o odmowie.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przypadku, gdy Wykonawca, w terminie wskazanym w ust. 5 niniejszego paragrafu nie dostarczy Z</w:t>
      </w:r>
      <w:r w:rsidR="0053771A">
        <w:rPr>
          <w:rFonts w:ascii="Candara" w:hAnsi="Candara" w:cs="Arial"/>
          <w:sz w:val="22"/>
          <w:szCs w:val="22"/>
        </w:rPr>
        <w:t>a</w:t>
      </w:r>
      <w:r w:rsidRPr="0053771A">
        <w:rPr>
          <w:rFonts w:ascii="Candara" w:hAnsi="Candara" w:cs="Arial"/>
          <w:sz w:val="22"/>
          <w:szCs w:val="22"/>
        </w:rPr>
        <w:t xml:space="preserve">mawiającemu materiałów spełniających wymogi ilościowe i jakościowe, Zamawiającemu przysługuje prawo zamówienia materiałów u podmiotu trzeciego </w:t>
      </w:r>
      <w:r w:rsidRPr="0053771A">
        <w:rPr>
          <w:rFonts w:ascii="Candara" w:hAnsi="Candara" w:cs="Arial"/>
          <w:sz w:val="22"/>
          <w:szCs w:val="22"/>
        </w:rPr>
        <w:br/>
        <w:t xml:space="preserve">i obciążenia Wykonawcy ceną materiałów zamówionych u innego podmiotu.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Potwierdzeniem przyjęcia przez Zamawiającego dostawy będzie protokół odbioru lub przyjęcie przez Zamawiającego faktury VAT.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Ze strony Zamawiającego osobą upoważnioną do potwierdzania realizacji usługi będzie  Bartosz Chmielnik, tel. 14 621 21 49 wew. 97, e-mail b.chmielnik@muzeum.tarnow.pl. Ze strony Wykonawcy osobą upoważniona do przyjęcia zamówienia będzie: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626FEC" w:rsidRPr="0053771A">
        <w:rPr>
          <w:rFonts w:ascii="Candara" w:hAnsi="Candara" w:cs="Arial"/>
          <w:sz w:val="22"/>
          <w:szCs w:val="22"/>
        </w:rPr>
        <w:t>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Niedopuszczalne jest zawieranie umów przez podwykonawcę z dalszym podwykonawcą.</w:t>
      </w:r>
    </w:p>
    <w:p w:rsidR="00F706AD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1D2B4B" w:rsidRPr="001D2B4B" w:rsidRDefault="001D2B4B" w:rsidP="001D2B4B">
      <w:pPr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2.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 tytułu realizacji przedmiotu umowy, Zamawiający zapłaci Wy</w:t>
      </w:r>
      <w:r w:rsidR="00626FEC" w:rsidRPr="0053771A">
        <w:rPr>
          <w:rFonts w:ascii="Candara" w:hAnsi="Candara" w:cs="Arial"/>
          <w:sz w:val="22"/>
          <w:szCs w:val="22"/>
        </w:rPr>
        <w:t xml:space="preserve">konawcy wynagrodzenie w kwocie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626FEC" w:rsidRPr="0053771A">
        <w:rPr>
          <w:rFonts w:ascii="Candara" w:hAnsi="Candara" w:cs="Arial"/>
          <w:sz w:val="22"/>
          <w:szCs w:val="22"/>
        </w:rPr>
        <w:t xml:space="preserve"> złotych brutto (słownie: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Pr="0053771A">
        <w:rPr>
          <w:rFonts w:ascii="Candara" w:hAnsi="Candara" w:cs="Arial"/>
          <w:sz w:val="22"/>
          <w:szCs w:val="22"/>
        </w:rPr>
        <w:t xml:space="preserve">brutto).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Zapłata nastąpi na podstawie faktury wystawionej przez Wykonawcę, przelewem na konto Wykonawcy nr </w:t>
      </w:r>
      <w:r w:rsidR="0053771A" w:rsidRPr="0053771A">
        <w:rPr>
          <w:rFonts w:ascii="Candara" w:eastAsia="Calibri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w terminie do 14 dni od daty przyjęcia faktury przez Zamawiającego.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jest podatnikiem podatku od towarów i usług VAT.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oświadcza, że jest podatnikiem podatku od towarów i usług VAT i posiada numer identyfikacyjny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nadany przez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>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3.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zapłaci Zamawiającemu karę umowną: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 zawiniona zwłokę w dostarczeniu przedmiotu zamówienia w terminie określonym w § 1 ust. 2, w wysokości 5% wartości wynagrodzenia, o którym mowa w § 2 ust., za każdy dzień zwłoki,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 opóźnienie w usunięciu wad lub braków ilościowych przedmiotu zamówienia w </w:t>
      </w:r>
      <w:r w:rsidR="0053771A">
        <w:rPr>
          <w:rFonts w:ascii="Candara" w:hAnsi="Candara" w:cs="Arial"/>
          <w:sz w:val="22"/>
          <w:szCs w:val="22"/>
        </w:rPr>
        <w:t>terminie określonym w § 1 ust. 5</w:t>
      </w:r>
      <w:r w:rsidRPr="0053771A">
        <w:rPr>
          <w:rFonts w:ascii="Candara" w:hAnsi="Candara" w:cs="Arial"/>
          <w:sz w:val="22"/>
          <w:szCs w:val="22"/>
        </w:rPr>
        <w:t xml:space="preserve">, w wysokości 10% wartości wynagrodzenia, o którym mowa w § 2 ust. 1  za każdy dzień zwłoki,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 odstąpienie od umowy z przyczyn leżących po stronie Wykonawcy 5</w:t>
      </w:r>
      <w:r w:rsidR="0015791C" w:rsidRPr="0053771A">
        <w:rPr>
          <w:rFonts w:ascii="Candara" w:hAnsi="Candara" w:cs="Arial"/>
          <w:sz w:val="22"/>
          <w:szCs w:val="22"/>
        </w:rPr>
        <w:t>0</w:t>
      </w:r>
      <w:r w:rsidRPr="0053771A">
        <w:rPr>
          <w:rFonts w:ascii="Candara" w:hAnsi="Candara" w:cs="Arial"/>
          <w:sz w:val="22"/>
          <w:szCs w:val="22"/>
        </w:rPr>
        <w:t xml:space="preserve">% wynagrodzenia umownego. 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lastRenderedPageBreak/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Kary umowne mogą być potrącone z wynagrodzenia należnego Wykonawcy.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4.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Zmiany umowy wymagają formy pisemnej.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treści niniejszej umowy nie może być niekorzystna dla Zamawiającego.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umowy dokonana z naruszeniem tych postanowień jest nieważna.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5.</w:t>
      </w:r>
    </w:p>
    <w:p w:rsidR="00F706AD" w:rsidRPr="0053771A" w:rsidRDefault="00F706AD" w:rsidP="006622ED">
      <w:pPr>
        <w:numPr>
          <w:ilvl w:val="0"/>
          <w:numId w:val="6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6.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sprawach nie uregulowanych umową mają zastosowanie przepisy Kodeksu cywilnego.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706AD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1D2B4B" w:rsidRPr="0053771A" w:rsidRDefault="001D2B4B" w:rsidP="001D2B4B">
      <w:pPr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7.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ind w:left="708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Wykonawca: </w:t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  <w:t>Zamawiający:</w:t>
      </w:r>
    </w:p>
    <w:p w:rsidR="00F6784C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lastRenderedPageBreak/>
        <w:t xml:space="preserve">załącznik </w:t>
      </w:r>
      <w:r w:rsidRPr="001D2B4B">
        <w:rPr>
          <w:rFonts w:ascii="Candara" w:hAnsi="Candara" w:cs="Arial"/>
          <w:b/>
          <w:sz w:val="22"/>
          <w:szCs w:val="22"/>
        </w:rPr>
        <w:t>nr 1</w:t>
      </w:r>
    </w:p>
    <w:p w:rsidR="001D2B4B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1D2B4B" w:rsidRPr="0053771A" w:rsidRDefault="001D2B4B" w:rsidP="006622ED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</w:rPr>
        <w:drawing>
          <wp:inline distT="0" distB="0" distL="0" distR="0">
            <wp:extent cx="5760720" cy="3931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P39_2018_zal. nr 3 mapa pogl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B4B" w:rsidRPr="0053771A" w:rsidSect="009A2D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73" w:rsidRDefault="00CC4973" w:rsidP="000B6EAD">
      <w:r>
        <w:separator/>
      </w:r>
    </w:p>
  </w:endnote>
  <w:endnote w:type="continuationSeparator" w:id="0">
    <w:p w:rsidR="00CC4973" w:rsidRDefault="00CC4973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1D2B4B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1D2B4B">
      <w:rPr>
        <w:rFonts w:ascii="Arial" w:hAnsi="Arial" w:cs="Arial"/>
        <w:b/>
        <w:bCs/>
        <w:noProof/>
        <w:sz w:val="18"/>
        <w:szCs w:val="18"/>
      </w:rPr>
      <w:t>4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73" w:rsidRDefault="00CC4973" w:rsidP="000B6EAD">
      <w:r>
        <w:separator/>
      </w:r>
    </w:p>
  </w:footnote>
  <w:footnote w:type="continuationSeparator" w:id="0">
    <w:p w:rsidR="00CC4973" w:rsidRDefault="00CC4973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1073A"/>
    <w:multiLevelType w:val="hybridMultilevel"/>
    <w:tmpl w:val="C442D0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F49BC"/>
    <w:multiLevelType w:val="hybridMultilevel"/>
    <w:tmpl w:val="04AE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BE0"/>
    <w:multiLevelType w:val="hybridMultilevel"/>
    <w:tmpl w:val="D972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01A9"/>
    <w:multiLevelType w:val="hybridMultilevel"/>
    <w:tmpl w:val="B7C0F5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F51"/>
    <w:multiLevelType w:val="hybridMultilevel"/>
    <w:tmpl w:val="C7209A0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3CC1"/>
    <w:multiLevelType w:val="hybridMultilevel"/>
    <w:tmpl w:val="E2FA1C6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B36"/>
    <w:multiLevelType w:val="hybridMultilevel"/>
    <w:tmpl w:val="7F9AB32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64B41"/>
    <w:multiLevelType w:val="hybridMultilevel"/>
    <w:tmpl w:val="A43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3267"/>
    <w:multiLevelType w:val="hybridMultilevel"/>
    <w:tmpl w:val="9174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15E51"/>
    <w:multiLevelType w:val="hybridMultilevel"/>
    <w:tmpl w:val="4A062E52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CC35D0"/>
    <w:multiLevelType w:val="hybridMultilevel"/>
    <w:tmpl w:val="4D8C8A6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CF4212"/>
    <w:multiLevelType w:val="hybridMultilevel"/>
    <w:tmpl w:val="BA921F2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C5538"/>
    <w:multiLevelType w:val="hybridMultilevel"/>
    <w:tmpl w:val="F704066A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21"/>
  </w:num>
  <w:num w:numId="8">
    <w:abstractNumId w:val="14"/>
  </w:num>
  <w:num w:numId="9">
    <w:abstractNumId w:val="24"/>
  </w:num>
  <w:num w:numId="10">
    <w:abstractNumId w:val="11"/>
  </w:num>
  <w:num w:numId="11">
    <w:abstractNumId w:val="17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13"/>
  </w:num>
  <w:num w:numId="20">
    <w:abstractNumId w:val="20"/>
  </w:num>
  <w:num w:numId="21">
    <w:abstractNumId w:val="16"/>
  </w:num>
  <w:num w:numId="22">
    <w:abstractNumId w:val="23"/>
  </w:num>
  <w:num w:numId="23">
    <w:abstractNumId w:val="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7002C"/>
    <w:rsid w:val="0009644E"/>
    <w:rsid w:val="000A3675"/>
    <w:rsid w:val="000A4853"/>
    <w:rsid w:val="000B6EAD"/>
    <w:rsid w:val="0010263A"/>
    <w:rsid w:val="0015791C"/>
    <w:rsid w:val="001D2B4B"/>
    <w:rsid w:val="00205B0E"/>
    <w:rsid w:val="00221FD8"/>
    <w:rsid w:val="00257433"/>
    <w:rsid w:val="002C1FBD"/>
    <w:rsid w:val="002C2004"/>
    <w:rsid w:val="003776B7"/>
    <w:rsid w:val="003B76A3"/>
    <w:rsid w:val="003C625E"/>
    <w:rsid w:val="003D3376"/>
    <w:rsid w:val="003D5977"/>
    <w:rsid w:val="00446A94"/>
    <w:rsid w:val="004501B0"/>
    <w:rsid w:val="004529B8"/>
    <w:rsid w:val="004A1BF0"/>
    <w:rsid w:val="004E3DC6"/>
    <w:rsid w:val="004E5D87"/>
    <w:rsid w:val="004F02E2"/>
    <w:rsid w:val="004F441E"/>
    <w:rsid w:val="00504ADE"/>
    <w:rsid w:val="005353CD"/>
    <w:rsid w:val="0053771A"/>
    <w:rsid w:val="00582D7F"/>
    <w:rsid w:val="005A278D"/>
    <w:rsid w:val="005B7FB3"/>
    <w:rsid w:val="005F50E4"/>
    <w:rsid w:val="00626FEC"/>
    <w:rsid w:val="006328AF"/>
    <w:rsid w:val="006622ED"/>
    <w:rsid w:val="006A0EB2"/>
    <w:rsid w:val="006B6DF5"/>
    <w:rsid w:val="006F487A"/>
    <w:rsid w:val="00714D03"/>
    <w:rsid w:val="00766250"/>
    <w:rsid w:val="007874EA"/>
    <w:rsid w:val="007957FA"/>
    <w:rsid w:val="007D1F79"/>
    <w:rsid w:val="00804332"/>
    <w:rsid w:val="00862F23"/>
    <w:rsid w:val="008732F9"/>
    <w:rsid w:val="008856D5"/>
    <w:rsid w:val="0093540A"/>
    <w:rsid w:val="00951944"/>
    <w:rsid w:val="009571E7"/>
    <w:rsid w:val="009A2D0F"/>
    <w:rsid w:val="009D09BE"/>
    <w:rsid w:val="009D6A77"/>
    <w:rsid w:val="00A9614F"/>
    <w:rsid w:val="00AB78F6"/>
    <w:rsid w:val="00B0425D"/>
    <w:rsid w:val="00B40C69"/>
    <w:rsid w:val="00B47DE7"/>
    <w:rsid w:val="00B7477B"/>
    <w:rsid w:val="00B77DAC"/>
    <w:rsid w:val="00C00E1B"/>
    <w:rsid w:val="00C131E2"/>
    <w:rsid w:val="00C315D9"/>
    <w:rsid w:val="00C80471"/>
    <w:rsid w:val="00C811BD"/>
    <w:rsid w:val="00C82C21"/>
    <w:rsid w:val="00CC4973"/>
    <w:rsid w:val="00CE3AE5"/>
    <w:rsid w:val="00D04533"/>
    <w:rsid w:val="00DD2C4B"/>
    <w:rsid w:val="00E41AF9"/>
    <w:rsid w:val="00E54517"/>
    <w:rsid w:val="00E82841"/>
    <w:rsid w:val="00E93EFE"/>
    <w:rsid w:val="00EC5C67"/>
    <w:rsid w:val="00F13407"/>
    <w:rsid w:val="00F47AB1"/>
    <w:rsid w:val="00F6784C"/>
    <w:rsid w:val="00F706AD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b.chmielnik</cp:lastModifiedBy>
  <cp:revision>2</cp:revision>
  <cp:lastPrinted>2018-07-18T12:11:00Z</cp:lastPrinted>
  <dcterms:created xsi:type="dcterms:W3CDTF">2018-09-27T06:46:00Z</dcterms:created>
  <dcterms:modified xsi:type="dcterms:W3CDTF">2018-09-27T06:46:00Z</dcterms:modified>
</cp:coreProperties>
</file>